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A5" w:rsidRPr="000114EA" w:rsidRDefault="002D13CB" w:rsidP="00760DDF">
      <w:pPr>
        <w:pStyle w:val="1"/>
        <w:ind w:left="1" w:right="1" w:hanging="1"/>
        <w:jc w:val="center"/>
        <w:rPr>
          <w:rFonts w:ascii="Times New Roman" w:hAnsi="Times New Roman"/>
          <w:b/>
        </w:rPr>
      </w:pPr>
      <w:r w:rsidRPr="000114EA">
        <w:rPr>
          <w:rFonts w:ascii="Times New Roman" w:hAnsi="Times New Roman"/>
          <w:b/>
        </w:rPr>
        <w:t>СООБЩЕНИЕ</w:t>
      </w:r>
    </w:p>
    <w:p w:rsidR="007B43A3" w:rsidRPr="000114EA" w:rsidRDefault="00952395" w:rsidP="00760DDF">
      <w:pPr>
        <w:pStyle w:val="1"/>
        <w:ind w:left="1" w:right="1" w:hanging="1"/>
        <w:jc w:val="center"/>
        <w:rPr>
          <w:rFonts w:ascii="Times New Roman" w:hAnsi="Times New Roman"/>
          <w:b/>
        </w:rPr>
      </w:pPr>
      <w:r w:rsidRPr="000114EA">
        <w:rPr>
          <w:rFonts w:ascii="Times New Roman" w:hAnsi="Times New Roman"/>
          <w:b/>
        </w:rPr>
        <w:t xml:space="preserve"> </w:t>
      </w:r>
      <w:r w:rsidR="002D13CB" w:rsidRPr="000114EA">
        <w:rPr>
          <w:rFonts w:ascii="Times New Roman" w:hAnsi="Times New Roman"/>
          <w:b/>
          <w:caps/>
        </w:rPr>
        <w:t xml:space="preserve">о проведении </w:t>
      </w:r>
      <w:r w:rsidR="006311CD" w:rsidRPr="000114EA">
        <w:rPr>
          <w:rFonts w:ascii="Times New Roman" w:hAnsi="Times New Roman"/>
          <w:b/>
          <w:caps/>
        </w:rPr>
        <w:t>ВНЕОЧЕРЕДНОГО</w:t>
      </w:r>
      <w:r w:rsidR="002D13CB" w:rsidRPr="000114EA">
        <w:rPr>
          <w:rFonts w:ascii="Times New Roman" w:hAnsi="Times New Roman"/>
          <w:b/>
          <w:caps/>
        </w:rPr>
        <w:t xml:space="preserve"> общего собрания </w:t>
      </w:r>
      <w:r w:rsidR="002D13CB" w:rsidRPr="000114EA">
        <w:rPr>
          <w:rFonts w:ascii="Times New Roman" w:hAnsi="Times New Roman"/>
          <w:b/>
          <w:bCs/>
          <w:caps/>
        </w:rPr>
        <w:t>АКЦИОНЕРОВ</w:t>
      </w:r>
    </w:p>
    <w:p w:rsidR="00952395" w:rsidRPr="000114EA" w:rsidRDefault="00952395" w:rsidP="00760DDF">
      <w:pPr>
        <w:tabs>
          <w:tab w:val="left" w:pos="284"/>
        </w:tabs>
        <w:ind w:left="1" w:hanging="1"/>
        <w:jc w:val="center"/>
        <w:rPr>
          <w:b/>
          <w:bCs/>
          <w:i/>
          <w:u w:val="single"/>
        </w:rPr>
      </w:pPr>
    </w:p>
    <w:p w:rsidR="007B43A3" w:rsidRPr="000114EA" w:rsidRDefault="007B43A3" w:rsidP="00760DDF">
      <w:pPr>
        <w:tabs>
          <w:tab w:val="left" w:pos="284"/>
        </w:tabs>
        <w:ind w:left="1" w:hanging="1"/>
        <w:jc w:val="center"/>
        <w:rPr>
          <w:b/>
          <w:bCs/>
          <w:i/>
          <w:u w:val="single"/>
        </w:rPr>
      </w:pPr>
      <w:r w:rsidRPr="000114EA">
        <w:rPr>
          <w:b/>
          <w:bCs/>
          <w:i/>
          <w:u w:val="single"/>
        </w:rPr>
        <w:t>УВАЖАЕМЫЙ АКЦИОНЕР!</w:t>
      </w:r>
    </w:p>
    <w:p w:rsidR="007B43A3" w:rsidRPr="000114EA" w:rsidRDefault="007B43A3" w:rsidP="007B43A3">
      <w:pPr>
        <w:tabs>
          <w:tab w:val="left" w:pos="284"/>
        </w:tabs>
        <w:ind w:left="1"/>
        <w:jc w:val="center"/>
        <w:rPr>
          <w:b/>
          <w:bCs/>
          <w:i/>
          <w:u w:val="single"/>
        </w:rPr>
      </w:pPr>
    </w:p>
    <w:p w:rsidR="007B43A3" w:rsidRPr="000114EA" w:rsidRDefault="007B43A3" w:rsidP="00760DDF">
      <w:pPr>
        <w:suppressAutoHyphens w:val="0"/>
        <w:autoSpaceDE w:val="0"/>
        <w:autoSpaceDN w:val="0"/>
        <w:adjustRightInd w:val="0"/>
        <w:ind w:left="1" w:right="110" w:firstLine="566"/>
        <w:jc w:val="both"/>
      </w:pPr>
      <w:r w:rsidRPr="000114EA">
        <w:t>Настоящим уведомляем Вас о том, что ПУБЛИЧНОЕ АКЦИОНЕРНОЕ ОБЩЕСТВО «МУРМАНСКИЙ ТРАЛОВЫЙ ФЛОТ» (далее - ПАО «МТФ» или Общество) с местонахождением по адресу: Россия, 183038, город Мурманск, улица Шмидта, дом 43,</w:t>
      </w:r>
      <w:r w:rsidR="00271866" w:rsidRPr="000114EA">
        <w:t xml:space="preserve"> ОГРН Общества 1025100833966,</w:t>
      </w:r>
      <w:r w:rsidRPr="000114EA">
        <w:t xml:space="preserve"> в соответствии со ст. 47 ФЗ «Об акционерных обществах», </w:t>
      </w:r>
      <w:r w:rsidRPr="000114EA">
        <w:rPr>
          <w:lang w:eastAsia="ru-RU"/>
        </w:rPr>
        <w:t xml:space="preserve">с решением Совета директоров Общества проводит </w:t>
      </w:r>
      <w:r w:rsidR="006311CD" w:rsidRPr="000114EA">
        <w:rPr>
          <w:lang w:eastAsia="ru-RU"/>
        </w:rPr>
        <w:t>внеочередное</w:t>
      </w:r>
      <w:r w:rsidRPr="000114EA">
        <w:rPr>
          <w:lang w:eastAsia="ru-RU"/>
        </w:rPr>
        <w:t xml:space="preserve"> общее собрание акционеров (далее - Собрание), которое состоится </w:t>
      </w:r>
      <w:r w:rsidR="00271866" w:rsidRPr="000114EA">
        <w:rPr>
          <w:b/>
          <w:lang w:eastAsia="ru-RU"/>
        </w:rPr>
        <w:t>30 апреля 2020 года.</w:t>
      </w:r>
    </w:p>
    <w:p w:rsidR="00414984" w:rsidRPr="000114EA" w:rsidRDefault="00414984" w:rsidP="004124A4">
      <w:pPr>
        <w:ind w:firstLine="567"/>
        <w:jc w:val="both"/>
        <w:rPr>
          <w:b/>
        </w:rPr>
      </w:pPr>
      <w:r w:rsidRPr="000114EA">
        <w:t xml:space="preserve">Форма проведения собрания: </w:t>
      </w:r>
      <w:r w:rsidR="006311CD" w:rsidRPr="000114EA">
        <w:rPr>
          <w:b/>
        </w:rPr>
        <w:t>заочное  голосование</w:t>
      </w:r>
    </w:p>
    <w:p w:rsidR="006311CD" w:rsidRPr="000114EA" w:rsidRDefault="004124A4" w:rsidP="004124A4">
      <w:pPr>
        <w:pStyle w:val="ConsPlusNormal"/>
        <w:ind w:firstLine="567"/>
        <w:jc w:val="both"/>
        <w:rPr>
          <w:bCs w:val="0"/>
          <w:sz w:val="20"/>
          <w:szCs w:val="20"/>
        </w:rPr>
      </w:pPr>
      <w:r w:rsidRPr="000114EA">
        <w:rPr>
          <w:b w:val="0"/>
          <w:bCs w:val="0"/>
          <w:sz w:val="20"/>
          <w:szCs w:val="20"/>
          <w:lang w:eastAsia="ar-SA"/>
        </w:rPr>
        <w:t>Почтовый адрес, по которому должны направляться заполненные бюллетени</w:t>
      </w:r>
      <w:r w:rsidR="006311CD" w:rsidRPr="000114EA">
        <w:rPr>
          <w:b w:val="0"/>
          <w:bCs w:val="0"/>
          <w:sz w:val="20"/>
          <w:szCs w:val="20"/>
          <w:lang w:eastAsia="ar-SA"/>
        </w:rPr>
        <w:t>:</w:t>
      </w:r>
      <w:r w:rsidR="006311CD" w:rsidRPr="000114EA">
        <w:rPr>
          <w:b w:val="0"/>
          <w:sz w:val="20"/>
          <w:szCs w:val="20"/>
        </w:rPr>
        <w:t xml:space="preserve"> </w:t>
      </w:r>
      <w:r w:rsidR="006311CD" w:rsidRPr="000114EA">
        <w:rPr>
          <w:bCs w:val="0"/>
          <w:sz w:val="20"/>
          <w:szCs w:val="20"/>
        </w:rPr>
        <w:t>183038, г. Мурманск, ул. Шмидта, д</w:t>
      </w:r>
      <w:r w:rsidR="00271866" w:rsidRPr="000114EA">
        <w:rPr>
          <w:bCs w:val="0"/>
          <w:sz w:val="20"/>
          <w:szCs w:val="20"/>
        </w:rPr>
        <w:t>ом</w:t>
      </w:r>
      <w:r w:rsidR="006311CD" w:rsidRPr="000114EA">
        <w:rPr>
          <w:bCs w:val="0"/>
          <w:sz w:val="20"/>
          <w:szCs w:val="20"/>
        </w:rPr>
        <w:t xml:space="preserve"> 43, ПАО «МТФ».</w:t>
      </w:r>
    </w:p>
    <w:p w:rsidR="006311CD" w:rsidRPr="000114EA" w:rsidRDefault="006311CD" w:rsidP="004124A4">
      <w:pPr>
        <w:ind w:firstLine="567"/>
        <w:jc w:val="both"/>
        <w:rPr>
          <w:lang w:eastAsia="ru-RU"/>
        </w:rPr>
      </w:pPr>
      <w:r w:rsidRPr="000114EA">
        <w:rPr>
          <w:lang w:eastAsia="ru-RU"/>
        </w:rPr>
        <w:t xml:space="preserve">Дата окончания приема бюллетеней для голосования </w:t>
      </w:r>
      <w:r w:rsidRPr="000114EA">
        <w:rPr>
          <w:b/>
          <w:lang w:eastAsia="ru-RU"/>
        </w:rPr>
        <w:t xml:space="preserve">– </w:t>
      </w:r>
      <w:r w:rsidR="00271866" w:rsidRPr="000114EA">
        <w:rPr>
          <w:b/>
          <w:lang w:eastAsia="ru-RU"/>
        </w:rPr>
        <w:t>30 апреля 2020</w:t>
      </w:r>
      <w:r w:rsidRPr="000114EA">
        <w:rPr>
          <w:b/>
          <w:lang w:eastAsia="ru-RU"/>
        </w:rPr>
        <w:t xml:space="preserve"> года</w:t>
      </w:r>
      <w:r w:rsidR="00CD5C6C" w:rsidRPr="000114EA">
        <w:rPr>
          <w:lang w:eastAsia="ru-RU"/>
        </w:rPr>
        <w:t>.</w:t>
      </w:r>
    </w:p>
    <w:p w:rsidR="00705563" w:rsidRPr="000114EA" w:rsidRDefault="00705563" w:rsidP="00705563">
      <w:pPr>
        <w:pStyle w:val="ConsPlusNormal"/>
        <w:ind w:firstLine="567"/>
        <w:jc w:val="both"/>
        <w:rPr>
          <w:sz w:val="20"/>
          <w:szCs w:val="20"/>
        </w:rPr>
      </w:pPr>
      <w:r w:rsidRPr="000114EA">
        <w:rPr>
          <w:b w:val="0"/>
          <w:sz w:val="20"/>
          <w:szCs w:val="20"/>
        </w:rPr>
        <w:t xml:space="preserve">Дата, на которую определяются (фиксируются) лица, имеющие право на участие в Собрании – </w:t>
      </w:r>
      <w:r w:rsidRPr="000114EA">
        <w:rPr>
          <w:sz w:val="20"/>
          <w:szCs w:val="20"/>
        </w:rPr>
        <w:t>26 марта 2020</w:t>
      </w:r>
      <w:r w:rsidR="006C4770">
        <w:rPr>
          <w:sz w:val="20"/>
          <w:szCs w:val="20"/>
        </w:rPr>
        <w:t xml:space="preserve"> </w:t>
      </w:r>
      <w:r w:rsidRPr="000114EA">
        <w:rPr>
          <w:sz w:val="20"/>
          <w:szCs w:val="20"/>
        </w:rPr>
        <w:t>года.</w:t>
      </w:r>
    </w:p>
    <w:p w:rsidR="00705563" w:rsidRPr="000114EA" w:rsidRDefault="00705563" w:rsidP="00705563">
      <w:pPr>
        <w:pStyle w:val="ConsPlusNormal"/>
        <w:ind w:firstLine="567"/>
        <w:jc w:val="both"/>
        <w:rPr>
          <w:b w:val="0"/>
          <w:sz w:val="20"/>
          <w:szCs w:val="20"/>
        </w:rPr>
      </w:pPr>
      <w:r w:rsidRPr="000114EA">
        <w:rPr>
          <w:b w:val="0"/>
          <w:sz w:val="20"/>
          <w:szCs w:val="20"/>
        </w:rPr>
        <w:t>Категории (типы) акций, владельцы которых имеют право голоса по вопросам повестки дня Собрания – акции обыкновенные именные бездокументарные (выпуск 1), государственный регистрационный номер 1-01-00087-А от 17.02.20</w:t>
      </w:r>
      <w:r w:rsidR="005F5BCD" w:rsidRPr="000114EA">
        <w:rPr>
          <w:b w:val="0"/>
          <w:sz w:val="20"/>
          <w:szCs w:val="20"/>
        </w:rPr>
        <w:t>1</w:t>
      </w:r>
      <w:r w:rsidRPr="000114EA">
        <w:rPr>
          <w:b w:val="0"/>
          <w:sz w:val="20"/>
          <w:szCs w:val="20"/>
        </w:rPr>
        <w:t>0 г.</w:t>
      </w:r>
    </w:p>
    <w:p w:rsidR="00181A19" w:rsidRPr="000114EA" w:rsidRDefault="00181A19" w:rsidP="002D13CB">
      <w:pPr>
        <w:jc w:val="both"/>
        <w:rPr>
          <w:color w:val="FF0000"/>
        </w:rPr>
      </w:pPr>
    </w:p>
    <w:p w:rsidR="00414984" w:rsidRPr="000114EA" w:rsidRDefault="007B43A3" w:rsidP="006311CD">
      <w:pPr>
        <w:pStyle w:val="1"/>
        <w:ind w:right="1"/>
        <w:rPr>
          <w:rFonts w:ascii="Times New Roman" w:hAnsi="Times New Roman"/>
          <w:b/>
          <w:bCs/>
          <w:u w:val="single"/>
        </w:rPr>
      </w:pPr>
      <w:r w:rsidRPr="000114EA">
        <w:rPr>
          <w:rFonts w:ascii="Times New Roman" w:hAnsi="Times New Roman"/>
          <w:b/>
          <w:bCs/>
          <w:u w:val="single"/>
        </w:rPr>
        <w:t xml:space="preserve">Повестка дня </w:t>
      </w:r>
      <w:r w:rsidR="006311CD" w:rsidRPr="000114EA">
        <w:rPr>
          <w:rFonts w:ascii="Times New Roman" w:hAnsi="Times New Roman"/>
          <w:b/>
          <w:bCs/>
          <w:u w:val="single"/>
        </w:rPr>
        <w:t>внеочередного</w:t>
      </w:r>
      <w:r w:rsidR="00156515" w:rsidRPr="000114EA">
        <w:rPr>
          <w:rFonts w:ascii="Times New Roman" w:hAnsi="Times New Roman"/>
          <w:b/>
          <w:bCs/>
          <w:u w:val="single"/>
        </w:rPr>
        <w:t xml:space="preserve"> </w:t>
      </w:r>
      <w:r w:rsidR="002C55CB" w:rsidRPr="000114EA">
        <w:rPr>
          <w:rFonts w:ascii="Times New Roman" w:hAnsi="Times New Roman"/>
          <w:b/>
          <w:bCs/>
          <w:u w:val="single"/>
        </w:rPr>
        <w:t>общего собрания акционеров</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pacing w:val="-6"/>
          <w:sz w:val="20"/>
          <w:szCs w:val="20"/>
        </w:rPr>
        <w:t>О реорганизации ПАО «МТФ» в форме выделения из него Общества с ограниченной ответственностью «МУРМАНСКИЙ ТРАЛОВЫЙ ФЛОТ-1»</w:t>
      </w:r>
      <w:r w:rsidRPr="000114EA">
        <w:rPr>
          <w:rFonts w:ascii="Times New Roman" w:hAnsi="Times New Roman"/>
          <w:sz w:val="20"/>
          <w:szCs w:val="20"/>
        </w:rPr>
        <w:t>.</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Дополнительного соглашения № 4 к Договору № 8627-1-204219 об открытии возобновляемой кредитной линии от 06.08.2019 г.</w:t>
      </w:r>
      <w:r w:rsidRPr="000114EA">
        <w:rPr>
          <w:rFonts w:ascii="Times New Roman" w:hAnsi="Times New Roman"/>
          <w:iCs/>
          <w:sz w:val="20"/>
          <w:szCs w:val="20"/>
        </w:rPr>
        <w:t xml:space="preserve"> 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9 к </w:t>
      </w:r>
      <w:r w:rsidRPr="000114EA">
        <w:rPr>
          <w:rFonts w:ascii="Times New Roman" w:hAnsi="Times New Roman"/>
          <w:b/>
          <w:bCs/>
          <w:sz w:val="20"/>
          <w:szCs w:val="20"/>
        </w:rPr>
        <w:t>Договору об открытии возобновляемой кредитной линии №8627-1-205517 от «22» декабря 2017 г.</w:t>
      </w:r>
      <w:r w:rsidRPr="000114EA">
        <w:rPr>
          <w:rFonts w:ascii="Times New Roman" w:hAnsi="Times New Roman"/>
          <w:iCs/>
          <w:sz w:val="20"/>
          <w:szCs w:val="20"/>
        </w:rPr>
        <w:t xml:space="preserve"> 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2</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10 к </w:t>
      </w:r>
      <w:r w:rsidRPr="000114EA">
        <w:rPr>
          <w:rFonts w:ascii="Times New Roman" w:hAnsi="Times New Roman"/>
          <w:b/>
          <w:bCs/>
          <w:sz w:val="20"/>
          <w:szCs w:val="20"/>
        </w:rPr>
        <w:t>Договору об открытии невозобновляемой кредитной линии № 8627-2-202317 от «04» октября 2017 г.</w:t>
      </w:r>
      <w:r w:rsidRPr="000114EA">
        <w:rPr>
          <w:rFonts w:ascii="Times New Roman" w:hAnsi="Times New Roman"/>
          <w:iCs/>
          <w:sz w:val="20"/>
          <w:szCs w:val="20"/>
        </w:rPr>
        <w:t xml:space="preserve"> 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3</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14 к </w:t>
      </w:r>
      <w:r w:rsidRPr="000114EA">
        <w:rPr>
          <w:rFonts w:ascii="Times New Roman" w:hAnsi="Times New Roman"/>
          <w:b/>
          <w:bCs/>
          <w:sz w:val="20"/>
          <w:szCs w:val="20"/>
        </w:rPr>
        <w:t>Договору об открытии невозобновляемой кредитной линии №8627-2-202216 от «30» июня 2016 г.</w:t>
      </w:r>
      <w:r w:rsidRPr="000114EA">
        <w:rPr>
          <w:rFonts w:ascii="Times New Roman" w:hAnsi="Times New Roman"/>
          <w:iCs/>
          <w:sz w:val="20"/>
          <w:szCs w:val="20"/>
        </w:rPr>
        <w:t xml:space="preserve"> 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4</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20 к </w:t>
      </w:r>
      <w:r w:rsidRPr="000114EA">
        <w:rPr>
          <w:rFonts w:ascii="Times New Roman" w:hAnsi="Times New Roman"/>
          <w:b/>
          <w:bCs/>
          <w:sz w:val="20"/>
          <w:szCs w:val="20"/>
        </w:rPr>
        <w:t xml:space="preserve">Договору об открытии невозобновляемой кредитной линии №8627-2-203315 от «25» ноября 2015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5</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26 к </w:t>
      </w:r>
      <w:r w:rsidRPr="000114EA">
        <w:rPr>
          <w:rFonts w:ascii="Times New Roman" w:hAnsi="Times New Roman"/>
          <w:b/>
          <w:bCs/>
          <w:sz w:val="20"/>
          <w:szCs w:val="20"/>
        </w:rPr>
        <w:t xml:space="preserve">Договору об открытии невозобновляемой кредитной линии №8627-2-201313 от «27» мая 2013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6</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4 к </w:t>
      </w:r>
      <w:r w:rsidRPr="000114EA">
        <w:rPr>
          <w:rFonts w:ascii="Times New Roman" w:hAnsi="Times New Roman"/>
          <w:b/>
          <w:bCs/>
          <w:sz w:val="20"/>
          <w:szCs w:val="20"/>
        </w:rPr>
        <w:t xml:space="preserve">Договору № 8627-2-204319 об открытии невозобновляемой кредитной линии от 06.08.2019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(«Заемщик») </w:t>
      </w:r>
      <w:r w:rsidRPr="000114EA">
        <w:rPr>
          <w:rFonts w:ascii="Times New Roman" w:hAnsi="Times New Roman"/>
          <w:iCs/>
          <w:sz w:val="20"/>
          <w:szCs w:val="20"/>
        </w:rPr>
        <w:t xml:space="preserve">и Публичным акционерным обществом «Сбербанк России» («Кредитор»)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7</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8 к </w:t>
      </w:r>
      <w:r w:rsidRPr="000114EA">
        <w:rPr>
          <w:rFonts w:ascii="Times New Roman" w:hAnsi="Times New Roman"/>
          <w:b/>
          <w:bCs/>
          <w:sz w:val="20"/>
          <w:szCs w:val="20"/>
        </w:rPr>
        <w:t xml:space="preserve">Договору поручительства № 55/8627/0000/612-П-03 от 22.02.2018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(«Поручитель») </w:t>
      </w:r>
      <w:r w:rsidRPr="000114EA">
        <w:rPr>
          <w:rFonts w:ascii="Times New Roman" w:hAnsi="Times New Roman"/>
          <w:iCs/>
          <w:sz w:val="20"/>
          <w:szCs w:val="20"/>
        </w:rPr>
        <w:t xml:space="preserve">и Публичным акционерным обществом «Сбербанк России» («Банк»)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8</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12 к </w:t>
      </w:r>
      <w:r w:rsidRPr="000114EA">
        <w:rPr>
          <w:rFonts w:ascii="Times New Roman" w:hAnsi="Times New Roman"/>
          <w:b/>
          <w:bCs/>
          <w:sz w:val="20"/>
          <w:szCs w:val="20"/>
        </w:rPr>
        <w:t xml:space="preserve">Договору поручительства №8627-2-202317-П-02 от «08» ноября 2017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(«Поручитель») </w:t>
      </w:r>
      <w:r w:rsidRPr="000114EA">
        <w:rPr>
          <w:rFonts w:ascii="Times New Roman" w:hAnsi="Times New Roman"/>
          <w:iCs/>
          <w:sz w:val="20"/>
          <w:szCs w:val="20"/>
        </w:rPr>
        <w:t xml:space="preserve">и Публичным акционерным обществом «Сбербанк России» («Банк»)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9</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12 к </w:t>
      </w:r>
      <w:r w:rsidRPr="000114EA">
        <w:rPr>
          <w:rFonts w:ascii="Times New Roman" w:hAnsi="Times New Roman"/>
          <w:b/>
          <w:bCs/>
          <w:sz w:val="20"/>
          <w:szCs w:val="20"/>
        </w:rPr>
        <w:t xml:space="preserve">Договору залога ценных бумаг № 8627-2-202317-ЦБ-09 от «07» ноября 2017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(«Залогодатель») </w:t>
      </w:r>
      <w:r w:rsidRPr="000114EA">
        <w:rPr>
          <w:rFonts w:ascii="Times New Roman" w:hAnsi="Times New Roman"/>
          <w:iCs/>
          <w:sz w:val="20"/>
          <w:szCs w:val="20"/>
        </w:rPr>
        <w:t xml:space="preserve">и Публичным акционерным обществом «Сбербанк России» («Залогодержатель»)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10</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12 к </w:t>
      </w:r>
      <w:r w:rsidRPr="000114EA">
        <w:rPr>
          <w:rFonts w:ascii="Times New Roman" w:hAnsi="Times New Roman"/>
          <w:b/>
          <w:bCs/>
          <w:sz w:val="20"/>
          <w:szCs w:val="20"/>
        </w:rPr>
        <w:t xml:space="preserve">Договору залога ценных бумаг № 8627-2-202317-ЦБ-10 от «07» ноября 2017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(«Залогодатель») </w:t>
      </w:r>
      <w:r w:rsidRPr="000114EA">
        <w:rPr>
          <w:rFonts w:ascii="Times New Roman" w:hAnsi="Times New Roman"/>
          <w:iCs/>
          <w:sz w:val="20"/>
          <w:szCs w:val="20"/>
        </w:rPr>
        <w:t xml:space="preserve">и Публичным акционерным обществом «Сбербанк России» («Залогодержатель»)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11</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12 к </w:t>
      </w:r>
      <w:r w:rsidRPr="000114EA">
        <w:rPr>
          <w:rFonts w:ascii="Times New Roman" w:hAnsi="Times New Roman"/>
          <w:b/>
          <w:bCs/>
          <w:sz w:val="20"/>
          <w:szCs w:val="20"/>
        </w:rPr>
        <w:t xml:space="preserve">Договору залога ценных бумаг № 8627-2-202317-ЦБ-17 от «07» ноября 2017 г.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(«Залогодатель») </w:t>
      </w:r>
      <w:r w:rsidRPr="000114EA">
        <w:rPr>
          <w:rFonts w:ascii="Times New Roman" w:hAnsi="Times New Roman"/>
          <w:iCs/>
          <w:sz w:val="20"/>
          <w:szCs w:val="20"/>
        </w:rPr>
        <w:t xml:space="preserve">и Публичным акционерным обществом «Сбербанк России» («Залогодержатель»)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12</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lastRenderedPageBreak/>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11 к </w:t>
      </w:r>
      <w:r w:rsidRPr="000114EA">
        <w:rPr>
          <w:rFonts w:ascii="Times New Roman" w:hAnsi="Times New Roman"/>
          <w:b/>
          <w:bCs/>
          <w:sz w:val="20"/>
          <w:szCs w:val="20"/>
        </w:rPr>
        <w:t xml:space="preserve">Договору ипотеки № 8627-2-202317-И-09 от «26» января 2018 </w:t>
      </w:r>
      <w:r w:rsidR="00D2239D" w:rsidRPr="000114EA">
        <w:rPr>
          <w:rFonts w:ascii="Times New Roman" w:hAnsi="Times New Roman"/>
          <w:b/>
          <w:bCs/>
          <w:sz w:val="20"/>
          <w:szCs w:val="20"/>
        </w:rPr>
        <w:t>года между</w:t>
      </w:r>
      <w:r w:rsidRPr="000114EA">
        <w:rPr>
          <w:rFonts w:ascii="Times New Roman" w:hAnsi="Times New Roman"/>
          <w:iCs/>
          <w:sz w:val="20"/>
          <w:szCs w:val="20"/>
        </w:rPr>
        <w:t xml:space="preserve">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(«Залогодатель») </w:t>
      </w:r>
      <w:r w:rsidRPr="000114EA">
        <w:rPr>
          <w:rFonts w:ascii="Times New Roman" w:hAnsi="Times New Roman"/>
          <w:iCs/>
          <w:sz w:val="20"/>
          <w:szCs w:val="20"/>
        </w:rPr>
        <w:t xml:space="preserve">и Публичным акционерным обществом «Сбербанк России» («Залогодержатель»)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13</w:t>
      </w:r>
      <w:r w:rsidRPr="000114EA">
        <w:rPr>
          <w:rFonts w:ascii="Times New Roman" w:hAnsi="Times New Roman"/>
          <w:sz w:val="20"/>
          <w:szCs w:val="20"/>
        </w:rPr>
        <w:t xml:space="preserve"> к настоящему Протоколу.</w:t>
      </w:r>
    </w:p>
    <w:p w:rsidR="00760DDF" w:rsidRPr="000114EA" w:rsidRDefault="00760DDF" w:rsidP="00760DDF">
      <w:pPr>
        <w:pStyle w:val="a3"/>
        <w:widowControl w:val="0"/>
        <w:numPr>
          <w:ilvl w:val="0"/>
          <w:numId w:val="6"/>
        </w:numPr>
        <w:suppressAutoHyphens/>
        <w:overflowPunct w:val="0"/>
        <w:autoSpaceDE w:val="0"/>
        <w:ind w:left="426"/>
        <w:jc w:val="both"/>
        <w:textAlignment w:val="baseline"/>
        <w:rPr>
          <w:rFonts w:ascii="Times New Roman" w:hAnsi="Times New Roman"/>
          <w:sz w:val="20"/>
          <w:szCs w:val="20"/>
        </w:rPr>
      </w:pPr>
      <w:r w:rsidRPr="000114EA">
        <w:rPr>
          <w:rFonts w:ascii="Times New Roman" w:hAnsi="Times New Roman"/>
          <w:sz w:val="20"/>
          <w:szCs w:val="20"/>
        </w:rPr>
        <w:t xml:space="preserve">Об одобрении в последующем порядке заключения </w:t>
      </w:r>
      <w:r w:rsidRPr="000114EA">
        <w:rPr>
          <w:rFonts w:ascii="Times New Roman" w:hAnsi="Times New Roman"/>
          <w:b/>
          <w:sz w:val="20"/>
          <w:szCs w:val="20"/>
        </w:rPr>
        <w:t xml:space="preserve">Дополнительного соглашения № 12 к </w:t>
      </w:r>
      <w:r w:rsidRPr="000114EA">
        <w:rPr>
          <w:rFonts w:ascii="Times New Roman" w:hAnsi="Times New Roman"/>
          <w:b/>
          <w:bCs/>
          <w:sz w:val="20"/>
          <w:szCs w:val="20"/>
        </w:rPr>
        <w:t xml:space="preserve">Договору ипотеки № 8627-2-202317-И-02 от «08» ноября 2017 года </w:t>
      </w:r>
      <w:r w:rsidRPr="000114EA">
        <w:rPr>
          <w:rFonts w:ascii="Times New Roman" w:hAnsi="Times New Roman"/>
          <w:iCs/>
          <w:sz w:val="20"/>
          <w:szCs w:val="20"/>
        </w:rPr>
        <w:t xml:space="preserve">между </w:t>
      </w:r>
      <w:r w:rsidRPr="000114EA">
        <w:rPr>
          <w:rFonts w:ascii="Times New Roman" w:hAnsi="Times New Roman"/>
          <w:bCs/>
          <w:iCs/>
          <w:sz w:val="20"/>
          <w:szCs w:val="20"/>
        </w:rPr>
        <w:t xml:space="preserve">ПУБЛИЧНЫМ АКЦИОНЕРНЫМ ОБЩЕСТВОМ «МУРМАНСКИЙ ТРАЛОВЫЙ ФЛОТ» </w:t>
      </w:r>
      <w:r w:rsidRPr="000114EA">
        <w:rPr>
          <w:rFonts w:ascii="Times New Roman" w:hAnsi="Times New Roman"/>
          <w:sz w:val="20"/>
          <w:szCs w:val="20"/>
        </w:rPr>
        <w:t xml:space="preserve">(«Залогодатель») </w:t>
      </w:r>
      <w:r w:rsidRPr="000114EA">
        <w:rPr>
          <w:rFonts w:ascii="Times New Roman" w:hAnsi="Times New Roman"/>
          <w:iCs/>
          <w:sz w:val="20"/>
          <w:szCs w:val="20"/>
        </w:rPr>
        <w:t xml:space="preserve">и Публичным акционерным обществом «Сбербанк России» («Залогодержатель») </w:t>
      </w:r>
      <w:r w:rsidRPr="000114EA">
        <w:rPr>
          <w:rFonts w:ascii="Times New Roman" w:hAnsi="Times New Roman"/>
          <w:sz w:val="20"/>
          <w:szCs w:val="20"/>
        </w:rPr>
        <w:t xml:space="preserve">в редакции </w:t>
      </w:r>
      <w:r w:rsidRPr="000114EA">
        <w:rPr>
          <w:rFonts w:ascii="Times New Roman" w:hAnsi="Times New Roman"/>
          <w:b/>
          <w:sz w:val="20"/>
          <w:szCs w:val="20"/>
        </w:rPr>
        <w:t>Приложения № 14</w:t>
      </w:r>
      <w:r w:rsidRPr="000114EA">
        <w:rPr>
          <w:rFonts w:ascii="Times New Roman" w:hAnsi="Times New Roman"/>
          <w:sz w:val="20"/>
          <w:szCs w:val="20"/>
        </w:rPr>
        <w:t xml:space="preserve"> к настоящему Протоколу.</w:t>
      </w:r>
    </w:p>
    <w:p w:rsidR="00414984" w:rsidRPr="000114EA" w:rsidRDefault="00414984" w:rsidP="002D13CB">
      <w:pPr>
        <w:pStyle w:val="ConsPlusNormal"/>
        <w:ind w:firstLine="540"/>
        <w:jc w:val="both"/>
        <w:rPr>
          <w:b w:val="0"/>
          <w:sz w:val="20"/>
          <w:szCs w:val="20"/>
        </w:rPr>
      </w:pPr>
    </w:p>
    <w:p w:rsidR="00F06C83" w:rsidRPr="00842697" w:rsidRDefault="002C55CB" w:rsidP="00F06C83">
      <w:pPr>
        <w:widowControl w:val="0"/>
        <w:ind w:left="1" w:firstLine="708"/>
        <w:jc w:val="both"/>
        <w:rPr>
          <w:rFonts w:eastAsia="Arial"/>
        </w:rPr>
      </w:pPr>
      <w:r w:rsidRPr="000114EA">
        <w:rPr>
          <w:rFonts w:eastAsia="Arial"/>
        </w:rPr>
        <w:t xml:space="preserve">С информацией (материалами), предоставляемой акционерам при подготовке к проведению </w:t>
      </w:r>
      <w:r w:rsidR="00760DDF" w:rsidRPr="000114EA">
        <w:rPr>
          <w:rFonts w:eastAsia="Arial"/>
        </w:rPr>
        <w:t>Собрания</w:t>
      </w:r>
      <w:r w:rsidRPr="000114EA">
        <w:rPr>
          <w:rFonts w:eastAsia="Arial"/>
        </w:rPr>
        <w:t>, м</w:t>
      </w:r>
      <w:r w:rsidR="00CD5C6C" w:rsidRPr="000114EA">
        <w:rPr>
          <w:rFonts w:eastAsia="Arial"/>
        </w:rPr>
        <w:t xml:space="preserve">ожно ознакомиться </w:t>
      </w:r>
      <w:r w:rsidR="00F06C83">
        <w:rPr>
          <w:rFonts w:eastAsia="Arial"/>
        </w:rPr>
        <w:t xml:space="preserve">по адресу: </w:t>
      </w:r>
      <w:r w:rsidR="00F06C83" w:rsidRPr="00842697">
        <w:rPr>
          <w:rFonts w:eastAsia="Arial"/>
        </w:rPr>
        <w:t xml:space="preserve">город Мурманск, улица Шмидта, дом 43, начиная с 30 марта 2020 г., каждый </w:t>
      </w:r>
      <w:r w:rsidR="00F06C83">
        <w:rPr>
          <w:rFonts w:eastAsia="Arial"/>
        </w:rPr>
        <w:t xml:space="preserve">рабочий </w:t>
      </w:r>
      <w:r w:rsidR="00F06C83" w:rsidRPr="00842697">
        <w:rPr>
          <w:rFonts w:eastAsia="Arial"/>
        </w:rPr>
        <w:t>вторник, с 16.00 до 17.00.</w:t>
      </w:r>
    </w:p>
    <w:p w:rsidR="001F1DBB" w:rsidRPr="000114EA" w:rsidRDefault="001F1DBB" w:rsidP="00F06C83">
      <w:pPr>
        <w:widowControl w:val="0"/>
        <w:ind w:left="1" w:firstLine="566"/>
        <w:jc w:val="both"/>
      </w:pPr>
    </w:p>
    <w:p w:rsidR="001F1DBB" w:rsidRPr="00014BB2" w:rsidRDefault="001F1DBB" w:rsidP="001F1DBB">
      <w:pPr>
        <w:ind w:right="-39" w:firstLine="708"/>
        <w:jc w:val="both"/>
      </w:pPr>
      <w:r w:rsidRPr="00014BB2">
        <w:t xml:space="preserve">В соответствии со статьей 75 Федерального закона «Об акционерных обществах» акционеры – </w:t>
      </w:r>
      <w:r w:rsidR="002D1377" w:rsidRPr="00014BB2">
        <w:t>владельцы голосующих</w:t>
      </w:r>
      <w:r w:rsidRPr="00014BB2">
        <w:t xml:space="preserve"> акций вправе требовать выкупа Обществом всех или части принадлежащих им акций в случае принятия Общим собранием акционеров решения о реорганизации общества, если они голосовали «ПРОТИВ» принятия решения о реорганизации общества, либо не принимали участия в голосовании по </w:t>
      </w:r>
      <w:r w:rsidR="00362889">
        <w:t xml:space="preserve">этому </w:t>
      </w:r>
      <w:r w:rsidRPr="00014BB2">
        <w:t>вопрос</w:t>
      </w:r>
      <w:r w:rsidR="00362889">
        <w:t>у</w:t>
      </w:r>
      <w:r w:rsidRPr="00014BB2">
        <w:t xml:space="preserve">. </w:t>
      </w:r>
    </w:p>
    <w:p w:rsidR="001F1DBB" w:rsidRPr="00014BB2" w:rsidRDefault="001F1DBB" w:rsidP="001F1DBB">
      <w:pPr>
        <w:ind w:right="-39" w:firstLine="708"/>
        <w:jc w:val="both"/>
      </w:pPr>
      <w:r w:rsidRPr="00014BB2">
        <w:rPr>
          <w:b/>
        </w:rPr>
        <w:t>Вопрос повестки дня общего Собрания, по котор</w:t>
      </w:r>
      <w:r w:rsidR="00014BB2" w:rsidRPr="00014BB2">
        <w:rPr>
          <w:b/>
        </w:rPr>
        <w:t>ому</w:t>
      </w:r>
      <w:r w:rsidRPr="00014BB2">
        <w:rPr>
          <w:b/>
        </w:rPr>
        <w:t xml:space="preserve"> у акционеров возникает право требовать выкупа обществом всех или части принадлежащих им </w:t>
      </w:r>
      <w:r w:rsidR="002D1377" w:rsidRPr="00014BB2">
        <w:rPr>
          <w:b/>
        </w:rPr>
        <w:t>акций:</w:t>
      </w:r>
      <w:r w:rsidR="002D1377" w:rsidRPr="00014BB2">
        <w:t xml:space="preserve"> </w:t>
      </w:r>
      <w:r w:rsidR="00014BB2" w:rsidRPr="00014BB2">
        <w:t>вопрос №1 повестки дня</w:t>
      </w:r>
      <w:r w:rsidRPr="00014BB2">
        <w:t>.</w:t>
      </w:r>
    </w:p>
    <w:p w:rsidR="001F1DBB" w:rsidRPr="002D1377" w:rsidRDefault="001F1DBB" w:rsidP="001F1DBB">
      <w:pPr>
        <w:ind w:firstLine="540"/>
        <w:jc w:val="both"/>
        <w:rPr>
          <w:b/>
          <w:bCs/>
          <w:u w:val="single"/>
        </w:rPr>
      </w:pPr>
      <w:r w:rsidRPr="000114EA">
        <w:t xml:space="preserve">Список акционеров, имеющих право </w:t>
      </w:r>
      <w:r w:rsidRPr="002D1377">
        <w:t>требовать выкупа Обществом принадлежащих им акций, составляется на основании данных реестра акционеров Общества на</w:t>
      </w:r>
      <w:r w:rsidRPr="002D1377">
        <w:rPr>
          <w:b/>
          <w:bCs/>
        </w:rPr>
        <w:t xml:space="preserve"> 26 марта 2020 года.</w:t>
      </w:r>
    </w:p>
    <w:p w:rsidR="001F1DBB" w:rsidRPr="000114EA" w:rsidRDefault="001F1DBB" w:rsidP="001F1DBB">
      <w:pPr>
        <w:autoSpaceDE w:val="0"/>
        <w:ind w:firstLine="708"/>
        <w:jc w:val="both"/>
        <w:rPr>
          <w:b/>
          <w:i/>
        </w:rPr>
      </w:pPr>
      <w:r w:rsidRPr="002D1377">
        <w:t>Выкуп Обществом голосующих акций осуществляется</w:t>
      </w:r>
      <w:r w:rsidR="002D1377" w:rsidRPr="002D1377">
        <w:t xml:space="preserve"> по цене, определенной Советом Д</w:t>
      </w:r>
      <w:r w:rsidRPr="002D1377">
        <w:t xml:space="preserve">иректоров  ПАО «МТФ»  на основании оценки, проведенной независимым оценщиком – </w:t>
      </w:r>
      <w:r w:rsidR="002D1377" w:rsidRPr="002D1377">
        <w:t>Франчуком С.Г.</w:t>
      </w:r>
      <w:r w:rsidRPr="002D1377">
        <w:t>, Отчет об оценке №</w:t>
      </w:r>
      <w:r w:rsidR="002D1377" w:rsidRPr="002D1377">
        <w:t xml:space="preserve"> 29-20</w:t>
      </w:r>
      <w:r w:rsidRPr="002D1377">
        <w:t>, дата составления отчета</w:t>
      </w:r>
      <w:r w:rsidR="002D1377" w:rsidRPr="002D1377">
        <w:t xml:space="preserve"> «12» марта 2020 года</w:t>
      </w:r>
      <w:r w:rsidRPr="002D1377">
        <w:t>, а именно по цене</w:t>
      </w:r>
      <w:r w:rsidR="002D1377" w:rsidRPr="002D1377">
        <w:t xml:space="preserve"> 2 726,32 (Две тысячи семьсот двадцать шесть) рублей 32 копейки </w:t>
      </w:r>
      <w:r w:rsidRPr="002D1377">
        <w:t>за одну</w:t>
      </w:r>
      <w:r w:rsidR="002D1377" w:rsidRPr="002D1377">
        <w:t xml:space="preserve"> акцию.</w:t>
      </w:r>
    </w:p>
    <w:p w:rsidR="001F1DBB" w:rsidRPr="000114EA" w:rsidRDefault="001F1DBB" w:rsidP="001F1DBB">
      <w:pPr>
        <w:autoSpaceDE w:val="0"/>
        <w:ind w:firstLine="708"/>
        <w:jc w:val="both"/>
        <w:rPr>
          <w:b/>
        </w:rPr>
      </w:pPr>
      <w:r w:rsidRPr="000114EA">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w:t>
      </w:r>
      <w:r w:rsidRPr="000114EA">
        <w:rPr>
          <w:b/>
        </w:rPr>
        <w:t xml:space="preserve">. </w:t>
      </w:r>
    </w:p>
    <w:p w:rsidR="001F1DBB" w:rsidRPr="000114EA" w:rsidRDefault="001F1DBB" w:rsidP="001F1DBB">
      <w:pPr>
        <w:autoSpaceDE w:val="0"/>
        <w:ind w:firstLine="708"/>
        <w:jc w:val="both"/>
      </w:pPr>
      <w:r w:rsidRPr="000114EA">
        <w:t xml:space="preserve">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«МТФ»), путем направления по почте </w:t>
      </w:r>
      <w:r w:rsidRPr="000114EA">
        <w:rPr>
          <w:u w:val="single"/>
        </w:rPr>
        <w:t>(</w:t>
      </w:r>
      <w:smartTag w:uri="urn:schemas-microsoft-com:office:smarttags" w:element="metricconverter">
        <w:smartTagPr>
          <w:attr w:name="ProductID" w:val="107996, г"/>
        </w:smartTagPr>
        <w:r w:rsidRPr="000114EA">
          <w:rPr>
            <w:u w:val="single"/>
          </w:rPr>
          <w:t>107996, г</w:t>
        </w:r>
      </w:smartTag>
      <w:r w:rsidRPr="000114EA">
        <w:rPr>
          <w:u w:val="single"/>
        </w:rPr>
        <w:t>. Москва, ул. Буженинова д.30, стр.1,</w:t>
      </w:r>
      <w:r w:rsidRPr="000114EA">
        <w:t xml:space="preserve"> тел.+7 (495) 980-1100 (многоканальный)</w:t>
      </w:r>
      <w:r w:rsidRPr="000114EA">
        <w:rPr>
          <w:u w:val="single"/>
        </w:rPr>
        <w:t>)</w:t>
      </w:r>
      <w:r w:rsidRPr="000114EA">
        <w:t xml:space="preserve">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(при направлении почтой) или уполномоченным лицом АО «Новый регистратор» (при личном обращении).</w:t>
      </w:r>
    </w:p>
    <w:p w:rsidR="001F1DBB" w:rsidRPr="000114EA" w:rsidRDefault="001F1DBB" w:rsidP="001F1DBB">
      <w:pPr>
        <w:autoSpaceDE w:val="0"/>
        <w:ind w:firstLine="708"/>
        <w:jc w:val="both"/>
      </w:pPr>
      <w:r w:rsidRPr="000114EA">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1F1DBB" w:rsidRPr="000114EA" w:rsidRDefault="001F1DBB" w:rsidP="001F1DBB">
      <w:pPr>
        <w:autoSpaceDE w:val="0"/>
        <w:ind w:firstLine="708"/>
        <w:jc w:val="both"/>
      </w:pPr>
      <w:r w:rsidRPr="000114EA">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1F1DBB" w:rsidRPr="000114EA" w:rsidRDefault="001F1DBB" w:rsidP="001F1DBB">
      <w:pPr>
        <w:autoSpaceDE w:val="0"/>
        <w:ind w:firstLine="708"/>
        <w:jc w:val="both"/>
      </w:pPr>
      <w:r w:rsidRPr="000114EA">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1F1DBB" w:rsidRPr="000114EA" w:rsidRDefault="001F1DBB" w:rsidP="001F1DBB">
      <w:pPr>
        <w:autoSpaceDE w:val="0"/>
        <w:ind w:firstLine="708"/>
        <w:jc w:val="both"/>
      </w:pPr>
      <w:r w:rsidRPr="000114EA">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1F1DBB" w:rsidRPr="000114EA" w:rsidRDefault="001F1DBB" w:rsidP="001F1DBB">
      <w:pPr>
        <w:autoSpaceDE w:val="0"/>
        <w:ind w:firstLine="708"/>
        <w:jc w:val="both"/>
      </w:pPr>
      <w:r w:rsidRPr="000114EA">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w:t>
      </w:r>
      <w:r w:rsidRPr="000114EA">
        <w:rPr>
          <w:color w:val="000000"/>
        </w:rPr>
        <w:t xml:space="preserve">(ст.ст. 75, 76 ФЗ «Об акционерных обществах», №208-ФЗ) </w:t>
      </w:r>
      <w:r w:rsidRPr="000114EA">
        <w:t>ПАО «МТФ».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1F1DBB" w:rsidRPr="000114EA" w:rsidRDefault="001F1DBB" w:rsidP="001F1DBB">
      <w:pPr>
        <w:autoSpaceDE w:val="0"/>
        <w:ind w:firstLine="708"/>
        <w:jc w:val="both"/>
      </w:pPr>
      <w:r w:rsidRPr="000114EA">
        <w:t>По истечении 45 дней с даты принятия соответствующего решения общим собранием акционеров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обязано направить отказ в удовлетворении таких требований.</w:t>
      </w:r>
    </w:p>
    <w:p w:rsidR="001F1DBB" w:rsidRPr="000114EA" w:rsidRDefault="001F1DBB" w:rsidP="001F1DBB">
      <w:pPr>
        <w:autoSpaceDE w:val="0"/>
        <w:ind w:firstLine="708"/>
        <w:jc w:val="both"/>
      </w:pPr>
      <w:r w:rsidRPr="000114EA">
        <w:t xml:space="preserve">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w:t>
      </w:r>
      <w:r w:rsidR="000114EA" w:rsidRPr="000114EA">
        <w:t>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1F1DBB" w:rsidRPr="000114EA" w:rsidRDefault="001F1DBB" w:rsidP="001F1DBB">
      <w:pPr>
        <w:autoSpaceDE w:val="0"/>
        <w:ind w:firstLine="708"/>
        <w:jc w:val="both"/>
      </w:pPr>
      <w:r w:rsidRPr="000114EA">
        <w:t>Совет директоров ПАО «МТФ»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в выписке из такого отчета направляется зарегистрированным в реестре акционеров общества номинальным держателям акций.</w:t>
      </w:r>
    </w:p>
    <w:p w:rsidR="001F1DBB" w:rsidRPr="000114EA" w:rsidRDefault="001F1DBB" w:rsidP="001F1DBB">
      <w:pPr>
        <w:autoSpaceDE w:val="0"/>
        <w:ind w:firstLine="708"/>
        <w:jc w:val="both"/>
      </w:pPr>
      <w:r w:rsidRPr="000114EA">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rsidR="001F1DBB" w:rsidRPr="000114EA" w:rsidRDefault="001F1DBB" w:rsidP="001F1DBB">
      <w:pPr>
        <w:autoSpaceDE w:val="0"/>
        <w:ind w:firstLine="708"/>
        <w:jc w:val="both"/>
      </w:pPr>
      <w:r w:rsidRPr="000114EA">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1F1DBB" w:rsidRPr="000114EA" w:rsidRDefault="001F1DBB" w:rsidP="001F1DBB">
      <w:pPr>
        <w:ind w:firstLine="540"/>
        <w:jc w:val="both"/>
        <w:rPr>
          <w:b/>
        </w:rPr>
      </w:pPr>
      <w:r w:rsidRPr="000114EA">
        <w:rPr>
          <w:b/>
          <w:bCs/>
        </w:rPr>
        <w:t xml:space="preserve">С 01.01.2020 г. вступили в силу изменения в Налоговый Кодекс РФ (далее НК РФ) в части налогообложения физических лиц. В соответствие с новыми требованиями законодательства при  </w:t>
      </w:r>
      <w:r w:rsidRPr="000114EA">
        <w:rPr>
          <w:b/>
        </w:rPr>
        <w:t xml:space="preserve">выкупе акций по </w:t>
      </w:r>
      <w:hyperlink r:id="rId5" w:history="1">
        <w:r w:rsidRPr="000114EA">
          <w:rPr>
            <w:b/>
          </w:rPr>
          <w:t>ст. 75</w:t>
        </w:r>
      </w:hyperlink>
      <w:r w:rsidRPr="000114EA">
        <w:rPr>
          <w:b/>
        </w:rPr>
        <w:t xml:space="preserve">-76 Федерального закона от 26.12.1995 N 208-ФЗ "Об акционерных обществах" исчисление, удержание и перечисление налога на доходы физических лиц осуществляет Общество (налоговый агент) согласно ст. 226.1 части 2 НК РФ. </w:t>
      </w:r>
    </w:p>
    <w:p w:rsidR="001F1DBB" w:rsidRPr="000114EA" w:rsidRDefault="001F1DBB" w:rsidP="001F1DBB">
      <w:pPr>
        <w:ind w:firstLine="540"/>
        <w:jc w:val="both"/>
        <w:rPr>
          <w:b/>
        </w:rPr>
      </w:pPr>
      <w:r w:rsidRPr="000114EA">
        <w:rPr>
          <w:b/>
        </w:rPr>
        <w:t xml:space="preserve">Для получения налоговой льготы акционер может предоставить в Общество документы, подтверждающие фактически осуществленные и документально подтвержденные расходы, которые связаны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p>
    <w:p w:rsidR="001F1DBB" w:rsidRPr="000114EA" w:rsidRDefault="001F1DBB" w:rsidP="001F1DBB">
      <w:pPr>
        <w:autoSpaceDE w:val="0"/>
        <w:autoSpaceDN w:val="0"/>
        <w:adjustRightInd w:val="0"/>
        <w:jc w:val="both"/>
        <w:rPr>
          <w:b/>
          <w:bCs/>
        </w:rPr>
      </w:pPr>
      <w:r w:rsidRPr="000114EA">
        <w:rPr>
          <w:b/>
          <w:bCs/>
        </w:rPr>
        <w:tab/>
      </w:r>
      <w:r w:rsidRPr="000114EA">
        <w:rPr>
          <w:b/>
        </w:rPr>
        <w:t xml:space="preserve">В  соответствии со ст. 217 п.17.2 части 2 НК РФ - </w:t>
      </w:r>
      <w:r w:rsidRPr="000114EA">
        <w:rPr>
          <w:b/>
          <w:bCs/>
        </w:rPr>
        <w:t>Доходы, не подлежащие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более пяти лет.</w:t>
      </w:r>
    </w:p>
    <w:p w:rsidR="001F1DBB" w:rsidRPr="000114EA" w:rsidRDefault="001F1DBB" w:rsidP="001F1DBB">
      <w:pPr>
        <w:autoSpaceDE w:val="0"/>
        <w:autoSpaceDN w:val="0"/>
        <w:adjustRightInd w:val="0"/>
        <w:jc w:val="both"/>
        <w:rPr>
          <w:b/>
          <w:bCs/>
        </w:rPr>
      </w:pPr>
      <w:r w:rsidRPr="000114EA">
        <w:rPr>
          <w:b/>
          <w:bCs/>
        </w:rPr>
        <w:tab/>
        <w:t>Если у акционера отсутствуют документы, подтверждающие срок владения акциями, он  может обратиться с запросом в Регистратор за справкой об операциях по лицевому счету.</w:t>
      </w:r>
    </w:p>
    <w:p w:rsidR="001F1DBB" w:rsidRPr="000114EA" w:rsidRDefault="001F1DBB" w:rsidP="001F1DBB">
      <w:pPr>
        <w:autoSpaceDE w:val="0"/>
        <w:autoSpaceDN w:val="0"/>
        <w:adjustRightInd w:val="0"/>
        <w:jc w:val="both"/>
        <w:rPr>
          <w:b/>
          <w:bCs/>
        </w:rPr>
      </w:pPr>
      <w:r w:rsidRPr="000114EA">
        <w:rPr>
          <w:b/>
          <w:bCs/>
        </w:rPr>
        <w:t>Обращаем Ваше внимание, что оплата за справку взимается в соответствии с действующим прейскурантом Регистратора.</w:t>
      </w:r>
    </w:p>
    <w:p w:rsidR="001F1DBB" w:rsidRPr="000114EA" w:rsidRDefault="001F1DBB" w:rsidP="001F1DBB">
      <w:pPr>
        <w:autoSpaceDE w:val="0"/>
        <w:autoSpaceDN w:val="0"/>
        <w:adjustRightInd w:val="0"/>
        <w:jc w:val="both"/>
        <w:rPr>
          <w:b/>
          <w:bCs/>
        </w:rPr>
      </w:pPr>
      <w:r w:rsidRPr="000114EA">
        <w:rPr>
          <w:b/>
          <w:bCs/>
        </w:rPr>
        <w:t>Для информации: стоимость справки рассчитывается из количества операций по лицевому счету и составляет – 270 руб. 00 коп. за первые 4 операции + 65 руб. 00 коп. за каждую последующую запись, но не более 2 750 руб. 00 коп.</w:t>
      </w:r>
    </w:p>
    <w:p w:rsidR="001F1DBB" w:rsidRPr="000114EA" w:rsidRDefault="001F1DBB" w:rsidP="001F1DBB">
      <w:pPr>
        <w:autoSpaceDE w:val="0"/>
        <w:autoSpaceDN w:val="0"/>
        <w:adjustRightInd w:val="0"/>
        <w:jc w:val="both"/>
        <w:rPr>
          <w:b/>
          <w:bCs/>
        </w:rPr>
      </w:pPr>
      <w:r w:rsidRPr="000114EA">
        <w:rPr>
          <w:b/>
          <w:bCs/>
        </w:rPr>
        <w:tab/>
        <w:t>Пакет документов направляется в Общество по адресу:</w:t>
      </w:r>
      <w:r w:rsidR="00D2239D">
        <w:rPr>
          <w:b/>
          <w:bCs/>
        </w:rPr>
        <w:t xml:space="preserve"> 183038, город Мурманск, улица Шмидта, дом 43</w:t>
      </w:r>
      <w:r w:rsidRPr="00D2239D">
        <w:rPr>
          <w:b/>
          <w:bCs/>
        </w:rPr>
        <w:t>.</w:t>
      </w:r>
      <w:r w:rsidRPr="000114EA">
        <w:rPr>
          <w:b/>
          <w:bCs/>
        </w:rPr>
        <w:t xml:space="preserve"> </w:t>
      </w:r>
    </w:p>
    <w:p w:rsidR="001F1DBB" w:rsidRPr="000114EA" w:rsidRDefault="001F1DBB" w:rsidP="001F1DBB">
      <w:pPr>
        <w:autoSpaceDE w:val="0"/>
        <w:autoSpaceDN w:val="0"/>
        <w:adjustRightInd w:val="0"/>
        <w:jc w:val="both"/>
        <w:rPr>
          <w:b/>
        </w:rPr>
      </w:pPr>
      <w:r w:rsidRPr="000114EA">
        <w:rPr>
          <w:b/>
          <w:bCs/>
        </w:rPr>
        <w:t xml:space="preserve">Дата получения Обществом документов  - не позднее </w:t>
      </w:r>
      <w:r w:rsidRPr="000114EA">
        <w:rPr>
          <w:b/>
        </w:rPr>
        <w:t xml:space="preserve">45 дней с даты принятия решения общим собранием акционеров. </w:t>
      </w:r>
    </w:p>
    <w:p w:rsidR="001F1DBB" w:rsidRPr="000114EA" w:rsidRDefault="001F1DBB" w:rsidP="001F1DBB">
      <w:pPr>
        <w:autoSpaceDE w:val="0"/>
        <w:autoSpaceDN w:val="0"/>
        <w:adjustRightInd w:val="0"/>
        <w:jc w:val="both"/>
        <w:rPr>
          <w:b/>
        </w:rPr>
      </w:pPr>
      <w:r w:rsidRPr="000114EA">
        <w:rPr>
          <w:b/>
        </w:rPr>
        <w:tab/>
        <w:t xml:space="preserve">Также, акционеры могут подать документы вместе с Требованием в Регистратор Общества (за исключением акционеров учет прав на ценные бумаги которых осуществляется номинальными держателями). </w:t>
      </w:r>
    </w:p>
    <w:p w:rsidR="001F1DBB" w:rsidRPr="000114EA" w:rsidRDefault="001F1DBB" w:rsidP="001F1DBB">
      <w:pPr>
        <w:autoSpaceDE w:val="0"/>
        <w:autoSpaceDN w:val="0"/>
        <w:adjustRightInd w:val="0"/>
        <w:jc w:val="both"/>
        <w:rPr>
          <w:b/>
          <w:bCs/>
        </w:rPr>
      </w:pPr>
    </w:p>
    <w:p w:rsidR="00952395" w:rsidRPr="000114EA" w:rsidRDefault="00952395" w:rsidP="00952395">
      <w:pPr>
        <w:adjustRightInd w:val="0"/>
        <w:ind w:right="255"/>
        <w:jc w:val="both"/>
        <w:rPr>
          <w:bCs/>
          <w:color w:val="FF0000"/>
        </w:rPr>
      </w:pPr>
    </w:p>
    <w:p w:rsidR="00AF4C65" w:rsidRPr="00D2239D" w:rsidRDefault="00AF4C65" w:rsidP="00AF4C65">
      <w:pPr>
        <w:spacing w:before="100" w:beforeAutospacing="1"/>
        <w:jc w:val="both"/>
        <w:rPr>
          <w:i/>
          <w:u w:val="single"/>
        </w:rPr>
      </w:pPr>
      <w:r w:rsidRPr="00D2239D">
        <w:rPr>
          <w:bCs/>
          <w:i/>
          <w:iCs/>
          <w:u w:val="single"/>
        </w:rPr>
        <w:t>Информационно:</w:t>
      </w:r>
    </w:p>
    <w:p w:rsidR="00AF4C65" w:rsidRPr="00D2239D" w:rsidRDefault="00BA4D26" w:rsidP="00AF4C65">
      <w:pPr>
        <w:suppressAutoHyphens w:val="0"/>
        <w:autoSpaceDE w:val="0"/>
        <w:autoSpaceDN w:val="0"/>
        <w:adjustRightInd w:val="0"/>
        <w:ind w:firstLine="540"/>
        <w:jc w:val="both"/>
        <w:rPr>
          <w:bCs/>
          <w:i/>
          <w:iCs/>
        </w:rPr>
      </w:pPr>
      <w:r w:rsidRPr="00D2239D">
        <w:rPr>
          <w:i/>
        </w:rPr>
        <w:t xml:space="preserve">Обращаем ваше внимание, что </w:t>
      </w:r>
      <w:r w:rsidR="002364FE" w:rsidRPr="00D2239D">
        <w:rPr>
          <w:i/>
        </w:rPr>
        <w:t>перечисленные</w:t>
      </w:r>
      <w:r w:rsidRPr="00D2239D">
        <w:rPr>
          <w:i/>
        </w:rPr>
        <w:t xml:space="preserve"> в формулировках вопросо</w:t>
      </w:r>
      <w:r w:rsidR="00F73DB9" w:rsidRPr="00D2239D">
        <w:rPr>
          <w:i/>
        </w:rPr>
        <w:t xml:space="preserve">в </w:t>
      </w:r>
      <w:r w:rsidR="00414984" w:rsidRPr="00D2239D">
        <w:rPr>
          <w:i/>
        </w:rPr>
        <w:t>повестки дня  Приложения (№</w:t>
      </w:r>
      <w:r w:rsidR="00CD5C6C" w:rsidRPr="00D2239D">
        <w:rPr>
          <w:i/>
        </w:rPr>
        <w:t>1-</w:t>
      </w:r>
      <w:r w:rsidR="001F1DBB" w:rsidRPr="00D2239D">
        <w:rPr>
          <w:i/>
        </w:rPr>
        <w:t>1</w:t>
      </w:r>
      <w:r w:rsidR="00014BB2">
        <w:rPr>
          <w:i/>
        </w:rPr>
        <w:t>5</w:t>
      </w:r>
      <w:r w:rsidRPr="00D2239D">
        <w:rPr>
          <w:i/>
        </w:rPr>
        <w:t>)</w:t>
      </w:r>
      <w:r w:rsidR="00AF4C65" w:rsidRPr="00D2239D">
        <w:rPr>
          <w:i/>
        </w:rPr>
        <w:t xml:space="preserve"> не будут рассылаться</w:t>
      </w:r>
      <w:r w:rsidRPr="00D2239D">
        <w:rPr>
          <w:i/>
        </w:rPr>
        <w:t xml:space="preserve"> путем почтового направления  каждому из акционеров,</w:t>
      </w:r>
      <w:r w:rsidR="00AF4C65" w:rsidRPr="00D2239D">
        <w:rPr>
          <w:i/>
        </w:rPr>
        <w:t xml:space="preserve"> ввиду значительного объема</w:t>
      </w:r>
      <w:r w:rsidR="00BD1228">
        <w:rPr>
          <w:i/>
        </w:rPr>
        <w:t xml:space="preserve"> </w:t>
      </w:r>
      <w:r w:rsidRPr="00D2239D">
        <w:rPr>
          <w:i/>
        </w:rPr>
        <w:t>данных документов</w:t>
      </w:r>
      <w:bookmarkStart w:id="0" w:name="_GoBack"/>
      <w:bookmarkEnd w:id="0"/>
      <w:r w:rsidR="00AF4C65" w:rsidRPr="00D2239D">
        <w:rPr>
          <w:i/>
        </w:rPr>
        <w:t xml:space="preserve"> и существенного увеличения стоимости услуг на проведение Общего собрания акционеров</w:t>
      </w:r>
      <w:r w:rsidRPr="00D2239D">
        <w:rPr>
          <w:i/>
        </w:rPr>
        <w:t>.</w:t>
      </w:r>
    </w:p>
    <w:p w:rsidR="00BA4D26" w:rsidRPr="00D2239D" w:rsidRDefault="00AF4C65" w:rsidP="00BA4D26">
      <w:pPr>
        <w:suppressAutoHyphens w:val="0"/>
        <w:autoSpaceDE w:val="0"/>
        <w:autoSpaceDN w:val="0"/>
        <w:adjustRightInd w:val="0"/>
        <w:ind w:firstLine="540"/>
        <w:jc w:val="both"/>
        <w:rPr>
          <w:i/>
        </w:rPr>
      </w:pPr>
      <w:r w:rsidRPr="00D2239D">
        <w:rPr>
          <w:bCs/>
          <w:i/>
          <w:iCs/>
        </w:rPr>
        <w:t xml:space="preserve">  </w:t>
      </w:r>
      <w:r w:rsidR="00BA4D26" w:rsidRPr="00D2239D">
        <w:rPr>
          <w:bCs/>
          <w:i/>
          <w:iCs/>
        </w:rPr>
        <w:t>Сообщаем, что с вышеназванными Приложениями</w:t>
      </w:r>
      <w:r w:rsidR="00BA4D26" w:rsidRPr="00D2239D">
        <w:rPr>
          <w:i/>
        </w:rPr>
        <w:t xml:space="preserve"> вы можете ознакомиться в порядке п.3ст.52 Федерального закона «Об акционерных обществах» в течение </w:t>
      </w:r>
      <w:r w:rsidR="007153C7" w:rsidRPr="00D2239D">
        <w:rPr>
          <w:i/>
        </w:rPr>
        <w:t>3</w:t>
      </w:r>
      <w:r w:rsidR="00CD5C6C" w:rsidRPr="00D2239D">
        <w:rPr>
          <w:i/>
        </w:rPr>
        <w:t>0 дней до общего собрания</w:t>
      </w:r>
      <w:r w:rsidR="00B03CD4" w:rsidRPr="00D2239D">
        <w:rPr>
          <w:i/>
        </w:rPr>
        <w:t>.</w:t>
      </w:r>
      <w:r w:rsidR="00CD5C6C" w:rsidRPr="00D2239D">
        <w:rPr>
          <w:i/>
        </w:rPr>
        <w:t xml:space="preserve"> </w:t>
      </w:r>
    </w:p>
    <w:p w:rsidR="00AF4C65" w:rsidRPr="00D2239D" w:rsidRDefault="00AF4C65" w:rsidP="00AF4C65">
      <w:pPr>
        <w:spacing w:before="100" w:beforeAutospacing="1"/>
        <w:jc w:val="both"/>
      </w:pPr>
    </w:p>
    <w:p w:rsidR="00AC11E5" w:rsidRPr="000114EA" w:rsidRDefault="00AC11E5" w:rsidP="007B43A3">
      <w:pPr>
        <w:spacing w:before="100" w:beforeAutospacing="1"/>
        <w:jc w:val="both"/>
        <w:rPr>
          <w:color w:val="FF0000"/>
        </w:rPr>
      </w:pPr>
    </w:p>
    <w:sectPr w:rsidR="00AC11E5" w:rsidRPr="000114EA" w:rsidSect="002D13CB">
      <w:pgSz w:w="11906" w:h="16838"/>
      <w:pgMar w:top="284"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F4288"/>
    <w:multiLevelType w:val="hybridMultilevel"/>
    <w:tmpl w:val="DBD2BE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550832"/>
    <w:multiLevelType w:val="multilevel"/>
    <w:tmpl w:val="354068F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63C137BA"/>
    <w:multiLevelType w:val="multilevel"/>
    <w:tmpl w:val="13947CF8"/>
    <w:lvl w:ilvl="0">
      <w:start w:val="1"/>
      <w:numFmt w:val="decimal"/>
      <w:lvlText w:val="%1."/>
      <w:lvlJc w:val="left"/>
      <w:pPr>
        <w:ind w:left="927" w:hanging="360"/>
      </w:pPr>
      <w:rPr>
        <w:rFonts w:ascii="Times New Roman" w:eastAsia="Arial"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nsid w:val="65EB2D7C"/>
    <w:multiLevelType w:val="multilevel"/>
    <w:tmpl w:val="21FC305E"/>
    <w:lvl w:ilvl="0">
      <w:start w:val="1"/>
      <w:numFmt w:val="decimal"/>
      <w:lvlText w:val="%1."/>
      <w:lvlJc w:val="left"/>
      <w:pPr>
        <w:ind w:left="720" w:hanging="360"/>
      </w:pPr>
      <w:rPr>
        <w:rFonts w:eastAsia="Calibri" w:hint="default"/>
        <w:b w:val="0"/>
      </w:rPr>
    </w:lvl>
    <w:lvl w:ilvl="1">
      <w:start w:val="1"/>
      <w:numFmt w:val="decimal"/>
      <w:lvlText w:val="12.%2."/>
      <w:lvlJc w:val="left"/>
      <w:pPr>
        <w:ind w:left="1395" w:hanging="675"/>
      </w:pPr>
      <w:rPr>
        <w:rFonts w:cs="Times New Roman"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5">
    <w:nsid w:val="6860068B"/>
    <w:multiLevelType w:val="hybridMultilevel"/>
    <w:tmpl w:val="879259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A4529"/>
    <w:rsid w:val="00005DA7"/>
    <w:rsid w:val="000114EA"/>
    <w:rsid w:val="00011AD1"/>
    <w:rsid w:val="00014BB2"/>
    <w:rsid w:val="000233B6"/>
    <w:rsid w:val="000E7ED5"/>
    <w:rsid w:val="00156515"/>
    <w:rsid w:val="00161526"/>
    <w:rsid w:val="001627A9"/>
    <w:rsid w:val="00167B90"/>
    <w:rsid w:val="00173930"/>
    <w:rsid w:val="00181A19"/>
    <w:rsid w:val="001A679F"/>
    <w:rsid w:val="001C19A6"/>
    <w:rsid w:val="001F1DBB"/>
    <w:rsid w:val="00215C6D"/>
    <w:rsid w:val="00227A38"/>
    <w:rsid w:val="002364FE"/>
    <w:rsid w:val="00271866"/>
    <w:rsid w:val="002C55CB"/>
    <w:rsid w:val="002D1377"/>
    <w:rsid w:val="002D13CB"/>
    <w:rsid w:val="002E1D99"/>
    <w:rsid w:val="00335887"/>
    <w:rsid w:val="00345748"/>
    <w:rsid w:val="00362889"/>
    <w:rsid w:val="00393F2A"/>
    <w:rsid w:val="004124A4"/>
    <w:rsid w:val="00414984"/>
    <w:rsid w:val="00430BA3"/>
    <w:rsid w:val="004C5880"/>
    <w:rsid w:val="004E5EDD"/>
    <w:rsid w:val="00506AEE"/>
    <w:rsid w:val="005120A5"/>
    <w:rsid w:val="00527A6C"/>
    <w:rsid w:val="00583A4C"/>
    <w:rsid w:val="005D0E35"/>
    <w:rsid w:val="005F5BCD"/>
    <w:rsid w:val="006311CD"/>
    <w:rsid w:val="006A7A83"/>
    <w:rsid w:val="006C4770"/>
    <w:rsid w:val="00705563"/>
    <w:rsid w:val="007153C7"/>
    <w:rsid w:val="00760DDF"/>
    <w:rsid w:val="007B43A3"/>
    <w:rsid w:val="007B6AC2"/>
    <w:rsid w:val="007E6C41"/>
    <w:rsid w:val="008469FC"/>
    <w:rsid w:val="00880B36"/>
    <w:rsid w:val="0088777F"/>
    <w:rsid w:val="00952395"/>
    <w:rsid w:val="0097396A"/>
    <w:rsid w:val="009A4529"/>
    <w:rsid w:val="00A7687A"/>
    <w:rsid w:val="00A979B2"/>
    <w:rsid w:val="00AC11E5"/>
    <w:rsid w:val="00AF4C65"/>
    <w:rsid w:val="00B03CD4"/>
    <w:rsid w:val="00B26576"/>
    <w:rsid w:val="00B5023C"/>
    <w:rsid w:val="00B65CD5"/>
    <w:rsid w:val="00BA4D26"/>
    <w:rsid w:val="00BD1228"/>
    <w:rsid w:val="00C00BB3"/>
    <w:rsid w:val="00C44F9D"/>
    <w:rsid w:val="00CB3CF9"/>
    <w:rsid w:val="00CD5C6C"/>
    <w:rsid w:val="00D2239D"/>
    <w:rsid w:val="00F06C83"/>
    <w:rsid w:val="00F273F9"/>
    <w:rsid w:val="00F43F36"/>
    <w:rsid w:val="00F73DB9"/>
    <w:rsid w:val="00FC4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A3"/>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7B43A3"/>
    <w:pPr>
      <w:keepNext/>
      <w:tabs>
        <w:tab w:val="num" w:pos="36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43A3"/>
    <w:rPr>
      <w:rFonts w:ascii="Times New Roman" w:eastAsia="Times New Roman" w:hAnsi="Times New Roman" w:cs="Times New Roman"/>
      <w:b/>
      <w:sz w:val="24"/>
      <w:szCs w:val="20"/>
      <w:lang w:eastAsia="ar-SA"/>
    </w:rPr>
  </w:style>
  <w:style w:type="paragraph" w:customStyle="1" w:styleId="1">
    <w:name w:val="Обычный1"/>
    <w:rsid w:val="007B43A3"/>
    <w:pPr>
      <w:suppressAutoHyphens/>
      <w:spacing w:after="0" w:line="240" w:lineRule="auto"/>
      <w:ind w:firstLine="709"/>
      <w:jc w:val="both"/>
    </w:pPr>
    <w:rPr>
      <w:rFonts w:ascii="HelvDL" w:eastAsia="Arial" w:hAnsi="HelvDL" w:cs="Times New Roman"/>
      <w:sz w:val="20"/>
      <w:szCs w:val="20"/>
      <w:lang w:eastAsia="ar-SA"/>
    </w:rPr>
  </w:style>
  <w:style w:type="paragraph" w:customStyle="1" w:styleId="Normal1">
    <w:name w:val="Normal1"/>
    <w:rsid w:val="007B43A3"/>
    <w:pPr>
      <w:widowControl w:val="0"/>
      <w:suppressAutoHyphens/>
      <w:spacing w:after="0" w:line="240" w:lineRule="auto"/>
      <w:ind w:firstLine="709"/>
    </w:pPr>
    <w:rPr>
      <w:rFonts w:ascii="Times New Roman" w:eastAsia="Arial" w:hAnsi="Times New Roman" w:cs="Times New Roman"/>
      <w:sz w:val="24"/>
      <w:szCs w:val="20"/>
      <w:lang w:eastAsia="ar-SA"/>
    </w:rPr>
  </w:style>
  <w:style w:type="paragraph" w:customStyle="1" w:styleId="ConsPlusNormal">
    <w:name w:val="ConsPlusNormal"/>
    <w:rsid w:val="007B43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0233B6"/>
  </w:style>
  <w:style w:type="paragraph" w:customStyle="1" w:styleId="2">
    <w:name w:val="Обычный2"/>
    <w:rsid w:val="001C19A6"/>
    <w:pPr>
      <w:suppressAutoHyphens/>
      <w:spacing w:after="0" w:line="240" w:lineRule="auto"/>
      <w:ind w:firstLine="709"/>
      <w:jc w:val="both"/>
    </w:pPr>
    <w:rPr>
      <w:rFonts w:ascii="HelvDL" w:eastAsia="Arial" w:hAnsi="HelvDL" w:cs="Times New Roman"/>
      <w:sz w:val="20"/>
      <w:szCs w:val="20"/>
      <w:lang w:eastAsia="ar-SA"/>
    </w:rPr>
  </w:style>
  <w:style w:type="paragraph" w:customStyle="1" w:styleId="31">
    <w:name w:val="Основной текст с отступом 31"/>
    <w:basedOn w:val="a"/>
    <w:rsid w:val="001C19A6"/>
    <w:pPr>
      <w:ind w:firstLine="709"/>
      <w:jc w:val="both"/>
    </w:pPr>
    <w:rPr>
      <w:sz w:val="24"/>
    </w:rPr>
  </w:style>
  <w:style w:type="paragraph" w:customStyle="1" w:styleId="21">
    <w:name w:val="Основной текст с отступом 21"/>
    <w:basedOn w:val="a"/>
    <w:rsid w:val="00156515"/>
    <w:pPr>
      <w:ind w:firstLine="567"/>
      <w:jc w:val="both"/>
    </w:pPr>
    <w:rPr>
      <w:sz w:val="24"/>
    </w:rPr>
  </w:style>
  <w:style w:type="paragraph" w:styleId="a3">
    <w:name w:val="List Paragraph"/>
    <w:aliases w:val="Нумерованый список,Абзац списка 1"/>
    <w:basedOn w:val="a"/>
    <w:link w:val="a4"/>
    <w:uiPriority w:val="34"/>
    <w:qFormat/>
    <w:rsid w:val="0097396A"/>
    <w:pPr>
      <w:suppressAutoHyphens w:val="0"/>
      <w:ind w:left="720"/>
    </w:pPr>
    <w:rPr>
      <w:rFonts w:ascii="Calibri" w:eastAsia="Calibri" w:hAnsi="Calibri"/>
      <w:sz w:val="22"/>
      <w:szCs w:val="22"/>
    </w:rPr>
  </w:style>
  <w:style w:type="character" w:customStyle="1" w:styleId="a4">
    <w:name w:val="Абзац списка Знак"/>
    <w:aliases w:val="Нумерованый список Знак,Абзац списка 1 Знак"/>
    <w:link w:val="a3"/>
    <w:uiPriority w:val="34"/>
    <w:locked/>
    <w:rsid w:val="0097396A"/>
    <w:rPr>
      <w:rFonts w:ascii="Calibri" w:eastAsia="Calibri" w:hAnsi="Calibri" w:cs="Times New Roman"/>
    </w:rPr>
  </w:style>
  <w:style w:type="paragraph" w:styleId="20">
    <w:name w:val="Body Text Indent 2"/>
    <w:basedOn w:val="a"/>
    <w:link w:val="22"/>
    <w:rsid w:val="004124A4"/>
    <w:pPr>
      <w:suppressAutoHyphens w:val="0"/>
      <w:ind w:firstLine="709"/>
      <w:jc w:val="both"/>
    </w:pPr>
    <w:rPr>
      <w:sz w:val="24"/>
      <w:szCs w:val="24"/>
      <w:lang w:eastAsia="ru-RU"/>
    </w:rPr>
  </w:style>
  <w:style w:type="character" w:customStyle="1" w:styleId="22">
    <w:name w:val="Основной текст с отступом 2 Знак"/>
    <w:basedOn w:val="a0"/>
    <w:link w:val="20"/>
    <w:rsid w:val="004124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944564">
      <w:bodyDiv w:val="1"/>
      <w:marLeft w:val="0"/>
      <w:marRight w:val="0"/>
      <w:marTop w:val="0"/>
      <w:marBottom w:val="0"/>
      <w:divBdr>
        <w:top w:val="none" w:sz="0" w:space="0" w:color="auto"/>
        <w:left w:val="none" w:sz="0" w:space="0" w:color="auto"/>
        <w:bottom w:val="none" w:sz="0" w:space="0" w:color="auto"/>
        <w:right w:val="none" w:sz="0" w:space="0" w:color="auto"/>
      </w:divBdr>
    </w:div>
    <w:div w:id="1230339562">
      <w:bodyDiv w:val="1"/>
      <w:marLeft w:val="0"/>
      <w:marRight w:val="0"/>
      <w:marTop w:val="0"/>
      <w:marBottom w:val="0"/>
      <w:divBdr>
        <w:top w:val="none" w:sz="0" w:space="0" w:color="auto"/>
        <w:left w:val="none" w:sz="0" w:space="0" w:color="auto"/>
        <w:bottom w:val="none" w:sz="0" w:space="0" w:color="auto"/>
        <w:right w:val="none" w:sz="0" w:space="0" w:color="auto"/>
      </w:divBdr>
    </w:div>
    <w:div w:id="1653366593">
      <w:bodyDiv w:val="1"/>
      <w:marLeft w:val="0"/>
      <w:marRight w:val="0"/>
      <w:marTop w:val="0"/>
      <w:marBottom w:val="0"/>
      <w:divBdr>
        <w:top w:val="none" w:sz="0" w:space="0" w:color="auto"/>
        <w:left w:val="none" w:sz="0" w:space="0" w:color="auto"/>
        <w:bottom w:val="none" w:sz="0" w:space="0" w:color="auto"/>
        <w:right w:val="none" w:sz="0" w:space="0" w:color="auto"/>
      </w:divBdr>
    </w:div>
    <w:div w:id="20337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5F78FCD4F845762DF132D8C106353D6F0F73F03779E0E423CDC9C98F8CF95A59B7785E289676F34CF9F60B25BA1A02436570EBB3DEDC43FDj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dc:creator>
  <cp:lastModifiedBy>bul_kb</cp:lastModifiedBy>
  <cp:revision>12</cp:revision>
  <dcterms:created xsi:type="dcterms:W3CDTF">2020-03-18T11:43:00Z</dcterms:created>
  <dcterms:modified xsi:type="dcterms:W3CDTF">2020-03-20T07:23:00Z</dcterms:modified>
</cp:coreProperties>
</file>